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042B" w14:textId="74A3B72D" w:rsidR="00500209" w:rsidRPr="00DB04A9" w:rsidRDefault="00500209" w:rsidP="00500209">
      <w:pPr>
        <w:spacing w:before="240" w:beforeAutospacing="0" w:after="240" w:afterAutospacing="0"/>
        <w:jc w:val="center"/>
        <w:rPr>
          <w:rFonts w:ascii="Century Gothic" w:hAnsi="Century Gothic"/>
          <w:b/>
          <w:bCs/>
          <w:color w:val="000000" w:themeColor="text1"/>
        </w:rPr>
      </w:pPr>
      <w:bookmarkStart w:id="0" w:name="OLE_LINK1"/>
      <w:bookmarkStart w:id="1" w:name="OLE_LINK2"/>
      <w:r w:rsidRPr="00DB04A9">
        <w:rPr>
          <w:rFonts w:ascii="Century Gothic" w:hAnsi="Century Gothic"/>
          <w:b/>
          <w:bCs/>
          <w:color w:val="000000" w:themeColor="text1"/>
        </w:rPr>
        <w:t>Simplificación administrativa Gobierno de Tlajomulco.</w:t>
      </w:r>
    </w:p>
    <w:p w14:paraId="506C071F" w14:textId="396E31E8" w:rsidR="009C7394" w:rsidRPr="00DB04A9" w:rsidRDefault="009C7394" w:rsidP="009C7394">
      <w:pPr>
        <w:spacing w:before="240" w:beforeAutospacing="0" w:after="240" w:afterAutospacing="0"/>
        <w:rPr>
          <w:rFonts w:ascii="Century Gothic" w:hAnsi="Century Gothic"/>
          <w:color w:val="000000" w:themeColor="text1"/>
        </w:rPr>
      </w:pPr>
      <w:r w:rsidRPr="00DB04A9">
        <w:rPr>
          <w:rFonts w:ascii="Century Gothic" w:hAnsi="Century Gothic"/>
          <w:color w:val="000000" w:themeColor="text1"/>
        </w:rPr>
        <w:t xml:space="preserve">Tlajomulco </w:t>
      </w:r>
      <w:r w:rsidRPr="00DB04A9">
        <w:rPr>
          <w:rFonts w:ascii="Century Gothic" w:hAnsi="Century Gothic"/>
          <w:color w:val="000000" w:themeColor="text1"/>
        </w:rPr>
        <w:t>ha buscado la consolidación de la excelencia en la administración y gestión pública</w:t>
      </w:r>
      <w:r w:rsidR="00DB04A9" w:rsidRPr="00DB04A9">
        <w:rPr>
          <w:rFonts w:ascii="Century Gothic" w:hAnsi="Century Gothic"/>
          <w:color w:val="000000" w:themeColor="text1"/>
        </w:rPr>
        <w:t>,</w:t>
      </w:r>
      <w:r w:rsidRPr="00DB04A9">
        <w:rPr>
          <w:rFonts w:ascii="Century Gothic" w:hAnsi="Century Gothic"/>
          <w:color w:val="000000" w:themeColor="text1"/>
        </w:rPr>
        <w:t xml:space="preserve"> </w:t>
      </w:r>
      <w:r w:rsidR="00DB04A9" w:rsidRPr="00DB04A9">
        <w:rPr>
          <w:rFonts w:ascii="Century Gothic" w:hAnsi="Century Gothic"/>
          <w:color w:val="000000" w:themeColor="text1"/>
        </w:rPr>
        <w:t>a</w:t>
      </w:r>
      <w:r w:rsidRPr="00DB04A9">
        <w:rPr>
          <w:rFonts w:ascii="Century Gothic" w:hAnsi="Century Gothic"/>
          <w:color w:val="000000" w:themeColor="text1"/>
        </w:rPr>
        <w:t xml:space="preserve"> través de la mejora en la respuesta a los problemas públicos y se ha convertido en un gobierno eficiente y que da resultados.  </w:t>
      </w:r>
    </w:p>
    <w:p w14:paraId="7EB15D56" w14:textId="4588A716" w:rsidR="00500209" w:rsidRPr="00DB04A9" w:rsidRDefault="009C7394" w:rsidP="009C7394">
      <w:pPr>
        <w:spacing w:before="240" w:beforeAutospacing="0" w:after="240" w:afterAutospacing="0"/>
        <w:rPr>
          <w:rFonts w:ascii="Century Gothic" w:hAnsi="Century Gothic"/>
          <w:color w:val="000000" w:themeColor="text1"/>
        </w:rPr>
      </w:pPr>
      <w:r w:rsidRPr="00DB04A9">
        <w:rPr>
          <w:rFonts w:ascii="Century Gothic" w:hAnsi="Century Gothic"/>
          <w:color w:val="000000" w:themeColor="text1"/>
        </w:rPr>
        <w:t xml:space="preserve">Una de las acciones principales ha sido la simplificación administrativa por ello: </w:t>
      </w:r>
    </w:p>
    <w:p w14:paraId="6169A680" w14:textId="3DE88165" w:rsidR="009C7394" w:rsidRPr="00DB04A9" w:rsidRDefault="00116D3B" w:rsidP="00500209">
      <w:pPr>
        <w:pStyle w:val="Prrafodelista"/>
        <w:numPr>
          <w:ilvl w:val="0"/>
          <w:numId w:val="7"/>
        </w:numPr>
        <w:spacing w:before="240" w:beforeAutospacing="0" w:after="240" w:afterAutospacing="0"/>
        <w:contextualSpacing w:val="0"/>
        <w:rPr>
          <w:rFonts w:ascii="Century Gothic" w:hAnsi="Century Gothic"/>
          <w:color w:val="000000" w:themeColor="text1"/>
        </w:rPr>
      </w:pPr>
      <w:r w:rsidRPr="00DB04A9">
        <w:rPr>
          <w:rFonts w:ascii="Century Gothic" w:hAnsi="Century Gothic"/>
          <w:color w:val="000000" w:themeColor="text1"/>
        </w:rPr>
        <w:t>R</w:t>
      </w:r>
      <w:r w:rsidR="009C7394" w:rsidRPr="00DB04A9">
        <w:rPr>
          <w:rFonts w:ascii="Century Gothic" w:hAnsi="Century Gothic"/>
          <w:color w:val="000000" w:themeColor="text1"/>
        </w:rPr>
        <w:t xml:space="preserve">ecientemente </w:t>
      </w:r>
      <w:r w:rsidR="0025265A" w:rsidRPr="00DB04A9">
        <w:rPr>
          <w:rFonts w:ascii="Century Gothic" w:hAnsi="Century Gothic"/>
          <w:color w:val="000000" w:themeColor="text1"/>
        </w:rPr>
        <w:t>se certificó</w:t>
      </w:r>
      <w:r w:rsidR="009C7394" w:rsidRPr="00DB04A9">
        <w:rPr>
          <w:rFonts w:ascii="Century Gothic" w:hAnsi="Century Gothic"/>
          <w:color w:val="000000" w:themeColor="text1"/>
        </w:rPr>
        <w:t xml:space="preserve"> la ventanilla de catastro en la norma </w:t>
      </w:r>
      <w:r w:rsidR="0025265A" w:rsidRPr="00DB04A9">
        <w:rPr>
          <w:rFonts w:ascii="Century Gothic" w:hAnsi="Century Gothic"/>
          <w:color w:val="000000" w:themeColor="text1"/>
        </w:rPr>
        <w:t xml:space="preserve">ISO 37001 de </w:t>
      </w:r>
      <w:proofErr w:type="spellStart"/>
      <w:r w:rsidR="009C7394" w:rsidRPr="00DB04A9">
        <w:rPr>
          <w:rFonts w:ascii="Century Gothic" w:hAnsi="Century Gothic"/>
          <w:color w:val="000000" w:themeColor="text1"/>
        </w:rPr>
        <w:t>Antisoborno</w:t>
      </w:r>
      <w:proofErr w:type="spellEnd"/>
      <w:r w:rsidR="009C7394" w:rsidRPr="00DB04A9">
        <w:rPr>
          <w:rFonts w:ascii="Century Gothic" w:hAnsi="Century Gothic"/>
          <w:color w:val="000000" w:themeColor="text1"/>
        </w:rPr>
        <w:t xml:space="preserve"> y Anticorrupció</w:t>
      </w:r>
      <w:r w:rsidR="0025265A" w:rsidRPr="00DB04A9">
        <w:rPr>
          <w:rFonts w:ascii="Century Gothic" w:hAnsi="Century Gothic"/>
          <w:color w:val="000000" w:themeColor="text1"/>
        </w:rPr>
        <w:t xml:space="preserve">n evitando malos manejos en los trámites. </w:t>
      </w:r>
    </w:p>
    <w:p w14:paraId="39EB58DE" w14:textId="77777777" w:rsidR="00DB04A9" w:rsidRDefault="0025265A" w:rsidP="00DB04A9">
      <w:pPr>
        <w:pStyle w:val="Prrafodelista"/>
        <w:numPr>
          <w:ilvl w:val="0"/>
          <w:numId w:val="7"/>
        </w:numPr>
        <w:spacing w:before="240" w:beforeAutospacing="0" w:after="240" w:afterAutospacing="0"/>
        <w:contextualSpacing w:val="0"/>
        <w:rPr>
          <w:rFonts w:ascii="Century Gothic" w:hAnsi="Century Gothic" w:cs="Calibri Light"/>
          <w:color w:val="000000" w:themeColor="text1"/>
        </w:rPr>
      </w:pPr>
      <w:r w:rsidRPr="00DB04A9">
        <w:rPr>
          <w:rFonts w:ascii="Century Gothic" w:hAnsi="Century Gothic"/>
          <w:color w:val="000000" w:themeColor="text1"/>
        </w:rPr>
        <w:t xml:space="preserve">Tlajomulco cuenta con </w:t>
      </w:r>
      <w:proofErr w:type="spellStart"/>
      <w:r w:rsidR="0078443E" w:rsidRPr="00DB04A9">
        <w:rPr>
          <w:rFonts w:ascii="Century Gothic" w:hAnsi="Century Gothic" w:cs="Calibri Light"/>
          <w:color w:val="000000" w:themeColor="text1"/>
        </w:rPr>
        <w:t>Tlajoapp</w:t>
      </w:r>
      <w:proofErr w:type="spellEnd"/>
      <w:r w:rsidR="0078443E" w:rsidRPr="00DB04A9">
        <w:rPr>
          <w:rFonts w:ascii="Century Gothic" w:hAnsi="Century Gothic" w:cs="Calibri Light"/>
          <w:color w:val="000000" w:themeColor="text1"/>
        </w:rPr>
        <w:t xml:space="preserve"> </w:t>
      </w:r>
      <w:r w:rsidRPr="00DB04A9">
        <w:rPr>
          <w:rFonts w:ascii="Century Gothic" w:hAnsi="Century Gothic" w:cs="Calibri Light"/>
          <w:color w:val="000000" w:themeColor="text1"/>
        </w:rPr>
        <w:t>que</w:t>
      </w:r>
      <w:r w:rsidR="00CA13E6" w:rsidRPr="00DB04A9">
        <w:rPr>
          <w:rFonts w:ascii="Century Gothic" w:hAnsi="Century Gothic" w:cs="Calibri Light"/>
          <w:color w:val="000000" w:themeColor="text1"/>
        </w:rPr>
        <w:t xml:space="preserve"> </w:t>
      </w:r>
      <w:r w:rsidR="0078443E" w:rsidRPr="00DB04A9">
        <w:rPr>
          <w:rFonts w:ascii="Century Gothic" w:hAnsi="Century Gothic" w:cs="Calibri Light"/>
          <w:color w:val="000000" w:themeColor="text1"/>
        </w:rPr>
        <w:t xml:space="preserve">tiene su base en el software Mejora Tu Ciudad, que permite la gestión de los servicios municipales y la comunicación con los ciudadanos en una sola plataforma. </w:t>
      </w:r>
      <w:r w:rsidRPr="00DB04A9">
        <w:rPr>
          <w:rFonts w:ascii="Century Gothic" w:hAnsi="Century Gothic" w:cs="Calibri Light"/>
          <w:color w:val="000000" w:themeColor="text1"/>
        </w:rPr>
        <w:t xml:space="preserve">A través de esta plataforma la ciudadanía puede hacer diferentes reportes de forma fácil y rápida. </w:t>
      </w:r>
    </w:p>
    <w:p w14:paraId="26194CDA" w14:textId="08114E80" w:rsidR="0078443E" w:rsidRPr="00DB04A9" w:rsidRDefault="0078443E" w:rsidP="00DB04A9">
      <w:pPr>
        <w:pStyle w:val="Prrafodelista"/>
        <w:numPr>
          <w:ilvl w:val="0"/>
          <w:numId w:val="7"/>
        </w:numPr>
        <w:spacing w:before="240" w:beforeAutospacing="0" w:after="240" w:afterAutospacing="0"/>
        <w:contextualSpacing w:val="0"/>
        <w:rPr>
          <w:rFonts w:ascii="Century Gothic" w:hAnsi="Century Gothic" w:cs="Calibri Light"/>
          <w:color w:val="000000" w:themeColor="text1"/>
        </w:rPr>
      </w:pPr>
      <w:r w:rsidRPr="00DB04A9">
        <w:rPr>
          <w:rFonts w:ascii="Century Gothic" w:hAnsi="Century Gothic" w:cs="Calibri Light"/>
          <w:color w:val="000000" w:themeColor="text1"/>
          <w:shd w:val="clear" w:color="auto" w:fill="FFFFFF"/>
        </w:rPr>
        <w:t xml:space="preserve">El Catálogo Municipal es la herramienta que contiene las regulaciones, trámites, servicios, inspecciones, verificaciones y visitas domiciliarias de la Administración Pública Municipal, </w:t>
      </w:r>
      <w:r w:rsidR="00DB04A9" w:rsidRPr="00DB04A9">
        <w:rPr>
          <w:rFonts w:ascii="Century Gothic" w:hAnsi="Century Gothic" w:cs="Calibri Light"/>
          <w:color w:val="000000" w:themeColor="text1"/>
          <w:shd w:val="clear" w:color="auto" w:fill="FFFFFF"/>
        </w:rPr>
        <w:t>c</w:t>
      </w:r>
      <w:r w:rsidR="00DB04A9" w:rsidRPr="00DB04A9">
        <w:rPr>
          <w:rFonts w:ascii="Century Gothic" w:eastAsia="Times New Roman" w:hAnsi="Century Gothic" w:cs="Times New Roman"/>
          <w:color w:val="000000" w:themeColor="text1"/>
          <w:shd w:val="clear" w:color="auto" w:fill="FFFFFF"/>
          <w:lang w:val="es-MX" w:eastAsia="es-MX"/>
        </w:rPr>
        <w:t>omo instrumento para realizar quejas sobre alguna anomalía en los trámites y servicios, con el objeto de brindarte certeza jurídica, transparencia, facilidad en el cumplimiento regulatorio, fomentando el uso de tecnologías de la información para la realización de consultas acerca de los trámites y servicios con los que cuenta el municipio.</w:t>
      </w:r>
    </w:p>
    <w:p w14:paraId="4E8A5BD1" w14:textId="76B135FD" w:rsidR="0078443E" w:rsidRPr="00DB04A9" w:rsidRDefault="0025265A" w:rsidP="00500209">
      <w:pPr>
        <w:pStyle w:val="Prrafodelista"/>
        <w:numPr>
          <w:ilvl w:val="0"/>
          <w:numId w:val="7"/>
        </w:numPr>
        <w:spacing w:before="240" w:beforeAutospacing="0" w:after="240" w:afterAutospacing="0"/>
        <w:contextualSpacing w:val="0"/>
        <w:rPr>
          <w:rFonts w:ascii="Century Gothic" w:hAnsi="Century Gothic" w:cs="Calibri Light"/>
          <w:color w:val="000000" w:themeColor="text1"/>
        </w:rPr>
      </w:pPr>
      <w:r w:rsidRPr="00DB04A9">
        <w:rPr>
          <w:rFonts w:ascii="Century Gothic" w:hAnsi="Century Gothic" w:cs="Calibri Light"/>
          <w:color w:val="000000" w:themeColor="text1"/>
        </w:rPr>
        <w:t>El p</w:t>
      </w:r>
      <w:r w:rsidR="0078443E" w:rsidRPr="00DB04A9">
        <w:rPr>
          <w:rFonts w:ascii="Century Gothic" w:hAnsi="Century Gothic" w:cs="Calibri Light"/>
          <w:color w:val="000000" w:themeColor="text1"/>
        </w:rPr>
        <w:t xml:space="preserve">rograma de Mejora Regulatoria (PMR) </w:t>
      </w:r>
      <w:r w:rsidRPr="00DB04A9">
        <w:rPr>
          <w:rFonts w:ascii="Century Gothic" w:hAnsi="Century Gothic" w:cs="Calibri Light"/>
          <w:color w:val="000000" w:themeColor="text1"/>
        </w:rPr>
        <w:t>es un</w:t>
      </w:r>
      <w:r w:rsidR="0078443E" w:rsidRPr="00DB04A9">
        <w:rPr>
          <w:rFonts w:ascii="Century Gothic" w:hAnsi="Century Gothic" w:cs="Calibri Light"/>
          <w:color w:val="000000" w:themeColor="text1"/>
        </w:rPr>
        <w:t xml:space="preserve"> mecanismo que tiene como fin, mejorar la regulación vigente e implementar acciones para la simplificación de trámites y servicios. </w:t>
      </w:r>
    </w:p>
    <w:p w14:paraId="62576B63" w14:textId="077123C6" w:rsidR="0078443E" w:rsidRPr="00DB04A9" w:rsidRDefault="0078443E" w:rsidP="00500209">
      <w:pPr>
        <w:pStyle w:val="Prrafodelista"/>
        <w:numPr>
          <w:ilvl w:val="0"/>
          <w:numId w:val="7"/>
        </w:numPr>
        <w:spacing w:before="240" w:beforeAutospacing="0" w:after="240" w:afterAutospacing="0"/>
        <w:contextualSpacing w:val="0"/>
        <w:rPr>
          <w:rFonts w:ascii="Century Gothic" w:hAnsi="Century Gothic" w:cs="Arial"/>
          <w:color w:val="000000" w:themeColor="text1"/>
        </w:rPr>
      </w:pPr>
      <w:r w:rsidRPr="00DB04A9">
        <w:rPr>
          <w:rFonts w:ascii="Century Gothic" w:hAnsi="Century Gothic" w:cs="Calibri Light"/>
          <w:color w:val="000000" w:themeColor="text1"/>
        </w:rPr>
        <w:t>VECS:</w:t>
      </w:r>
      <w:r w:rsidRPr="00DB04A9">
        <w:rPr>
          <w:rFonts w:ascii="Century Gothic" w:hAnsi="Century Gothic" w:cs="Arial"/>
          <w:color w:val="000000" w:themeColor="text1"/>
        </w:rPr>
        <w:t xml:space="preserve"> </w:t>
      </w:r>
      <w:r w:rsidRPr="00DB04A9">
        <w:rPr>
          <w:rFonts w:ascii="Century Gothic" w:hAnsi="Century Gothic" w:cs="Calibri Light"/>
          <w:color w:val="000000" w:themeColor="text1"/>
        </w:rPr>
        <w:t xml:space="preserve">Es el instrumento de Mejora Regulatoria, que permite obtener una licencia de construcción y la respectiva habitabilidad en un plazo no mayor a 10 días hábiles para construcciones de bajo riesgo y menores a 1,500m2. Esta herramienta cuenta con su propia plataforma, desde la cual el constructor puede ingresar toda la documentación necesaria para poder iniciar su obra. </w:t>
      </w:r>
    </w:p>
    <w:p w14:paraId="28152CA5" w14:textId="77777777" w:rsidR="0078443E" w:rsidRPr="00DB04A9" w:rsidRDefault="0078443E" w:rsidP="00500209">
      <w:pPr>
        <w:pStyle w:val="Prrafodelista"/>
        <w:numPr>
          <w:ilvl w:val="0"/>
          <w:numId w:val="7"/>
        </w:numPr>
        <w:spacing w:before="240" w:beforeAutospacing="0" w:after="240" w:afterAutospacing="0"/>
        <w:contextualSpacing w:val="0"/>
        <w:rPr>
          <w:rFonts w:ascii="Century Gothic" w:hAnsi="Century Gothic" w:cs="Calibri Light"/>
          <w:color w:val="000000" w:themeColor="text1"/>
        </w:rPr>
      </w:pPr>
      <w:r w:rsidRPr="00DB04A9">
        <w:rPr>
          <w:rFonts w:ascii="Century Gothic" w:hAnsi="Century Gothic" w:cs="Calibri Light"/>
          <w:color w:val="000000" w:themeColor="text1"/>
        </w:rPr>
        <w:t>SARE:</w:t>
      </w:r>
      <w:r w:rsidRPr="00DB04A9">
        <w:rPr>
          <w:rFonts w:ascii="Century Gothic" w:hAnsi="Century Gothic" w:cs="Arial"/>
          <w:color w:val="000000" w:themeColor="text1"/>
        </w:rPr>
        <w:t xml:space="preserve"> </w:t>
      </w:r>
      <w:r w:rsidRPr="00DB04A9">
        <w:rPr>
          <w:rFonts w:ascii="Century Gothic" w:hAnsi="Century Gothic" w:cs="Calibri Light"/>
          <w:color w:val="000000" w:themeColor="text1"/>
        </w:rPr>
        <w:t xml:space="preserve">Es la herramienta que permite obtener la licencia de giro en un plazo menor a 72 horas para giros de bajo riesgo (A y B), actualmente se tiene la certificación de Programa de Reconocimiento de Sistema </w:t>
      </w:r>
      <w:r w:rsidRPr="00DB04A9">
        <w:rPr>
          <w:rFonts w:ascii="Century Gothic" w:hAnsi="Century Gothic" w:cs="Calibri Light"/>
          <w:color w:val="000000" w:themeColor="text1"/>
        </w:rPr>
        <w:lastRenderedPageBreak/>
        <w:t>de Apertura Rápida de Empresas (PROSARE) otorgada por la CONAMER.</w:t>
      </w:r>
    </w:p>
    <w:p w14:paraId="41DD6D7A" w14:textId="1E4F86F7" w:rsidR="009B431D" w:rsidRPr="00DB04A9" w:rsidRDefault="00DB04A9" w:rsidP="00500209">
      <w:pPr>
        <w:spacing w:before="240" w:beforeAutospacing="0" w:after="240" w:afterAutospacing="0"/>
        <w:rPr>
          <w:rFonts w:ascii="Century Gothic" w:hAnsi="Century Gothic"/>
          <w:color w:val="000000" w:themeColor="text1"/>
        </w:rPr>
      </w:pPr>
    </w:p>
    <w:p w14:paraId="79595FDB" w14:textId="77777777" w:rsidR="00500209" w:rsidRPr="00DB04A9" w:rsidRDefault="00500209" w:rsidP="00500209">
      <w:pPr>
        <w:spacing w:before="0" w:beforeAutospacing="0" w:after="160" w:afterAutospacing="0" w:line="259" w:lineRule="auto"/>
        <w:rPr>
          <w:rFonts w:ascii="Century Gothic" w:hAnsi="Century Gothic"/>
          <w:color w:val="000000" w:themeColor="text1"/>
        </w:rPr>
      </w:pPr>
    </w:p>
    <w:p w14:paraId="5CCAA48C" w14:textId="16CAB39E" w:rsidR="00500209" w:rsidRPr="00DB04A9" w:rsidRDefault="00500209" w:rsidP="00500209">
      <w:pPr>
        <w:spacing w:before="0" w:beforeAutospacing="0" w:after="160" w:afterAutospacing="0" w:line="259" w:lineRule="auto"/>
        <w:rPr>
          <w:rFonts w:ascii="Century Gothic" w:hAnsi="Century Gothic" w:cs="Calibri Light"/>
          <w:b/>
          <w:bCs/>
          <w:color w:val="000000" w:themeColor="text1"/>
        </w:rPr>
      </w:pPr>
      <w:r w:rsidRPr="00DB04A9">
        <w:rPr>
          <w:rFonts w:ascii="Century Gothic" w:hAnsi="Century Gothic" w:cs="Calibri Light"/>
          <w:b/>
          <w:bCs/>
          <w:color w:val="000000" w:themeColor="text1"/>
        </w:rPr>
        <w:t xml:space="preserve">Próximos proyectos: </w:t>
      </w:r>
    </w:p>
    <w:p w14:paraId="3805F028" w14:textId="695AD5D8" w:rsidR="0025265A" w:rsidRPr="00DB04A9" w:rsidRDefault="0025265A" w:rsidP="00500209">
      <w:pPr>
        <w:pStyle w:val="Prrafodelista"/>
        <w:numPr>
          <w:ilvl w:val="0"/>
          <w:numId w:val="7"/>
        </w:numPr>
        <w:spacing w:before="240" w:beforeAutospacing="0" w:after="240" w:afterAutospacing="0"/>
        <w:ind w:left="714" w:hanging="357"/>
        <w:contextualSpacing w:val="0"/>
        <w:rPr>
          <w:rFonts w:ascii="Century Gothic" w:hAnsi="Century Gothic" w:cs="Calibri Light"/>
          <w:color w:val="000000" w:themeColor="text1"/>
        </w:rPr>
      </w:pPr>
      <w:r w:rsidRPr="00DB04A9">
        <w:rPr>
          <w:rFonts w:ascii="Century Gothic" w:hAnsi="Century Gothic" w:cs="Calibri Light"/>
          <w:color w:val="000000" w:themeColor="text1"/>
        </w:rPr>
        <w:t>Plataforma de citas en línea: Esta plataforma se encuentra en implementación, está por liberarse. El propósito de esta plataforma es que el ciudadano pueda realizar su cita en línea para poder ser atendido el día y a la hora agendada, evitando filas y ahorrando tiempos.</w:t>
      </w:r>
    </w:p>
    <w:p w14:paraId="48FD8275" w14:textId="75681F35" w:rsidR="00116D3B" w:rsidRPr="00DB04A9" w:rsidRDefault="00500209" w:rsidP="00500209">
      <w:pPr>
        <w:pStyle w:val="Prrafodelista"/>
        <w:numPr>
          <w:ilvl w:val="0"/>
          <w:numId w:val="7"/>
        </w:numPr>
        <w:spacing w:before="240" w:beforeAutospacing="0" w:after="240" w:afterAutospacing="0"/>
        <w:ind w:left="714" w:hanging="357"/>
        <w:contextualSpacing w:val="0"/>
        <w:rPr>
          <w:rFonts w:ascii="Century Gothic" w:hAnsi="Century Gothic"/>
          <w:color w:val="000000" w:themeColor="text1"/>
        </w:rPr>
      </w:pPr>
      <w:r w:rsidRPr="00DB04A9">
        <w:rPr>
          <w:rFonts w:ascii="Century Gothic" w:hAnsi="Century Gothic"/>
          <w:color w:val="000000" w:themeColor="text1"/>
        </w:rPr>
        <w:t>C</w:t>
      </w:r>
      <w:r w:rsidR="00116D3B" w:rsidRPr="00DB04A9">
        <w:rPr>
          <w:rFonts w:ascii="Century Gothic" w:hAnsi="Century Gothic"/>
          <w:color w:val="000000" w:themeColor="text1"/>
        </w:rPr>
        <w:t xml:space="preserve">entro integral de recepción y atención de trámites; será un punto de contacto </w:t>
      </w:r>
      <w:proofErr w:type="spellStart"/>
      <w:r w:rsidR="00116D3B" w:rsidRPr="00DB04A9">
        <w:rPr>
          <w:rFonts w:ascii="Century Gothic" w:hAnsi="Century Gothic"/>
          <w:color w:val="000000" w:themeColor="text1"/>
        </w:rPr>
        <w:t>multitrámite</w:t>
      </w:r>
      <w:proofErr w:type="spellEnd"/>
      <w:r w:rsidR="00116D3B" w:rsidRPr="00DB04A9">
        <w:rPr>
          <w:rFonts w:ascii="Century Gothic" w:hAnsi="Century Gothic"/>
          <w:color w:val="000000" w:themeColor="text1"/>
        </w:rPr>
        <w:t xml:space="preserve"> con la </w:t>
      </w:r>
      <w:proofErr w:type="spellStart"/>
      <w:r w:rsidR="00116D3B" w:rsidRPr="00DB04A9">
        <w:rPr>
          <w:rFonts w:ascii="Century Gothic" w:hAnsi="Century Gothic"/>
          <w:color w:val="000000" w:themeColor="text1"/>
        </w:rPr>
        <w:t>ﬁgura</w:t>
      </w:r>
      <w:proofErr w:type="spellEnd"/>
      <w:r w:rsidR="00116D3B" w:rsidRPr="00DB04A9">
        <w:rPr>
          <w:rFonts w:ascii="Century Gothic" w:hAnsi="Century Gothic"/>
          <w:color w:val="000000" w:themeColor="text1"/>
        </w:rPr>
        <w:t xml:space="preserve"> de ejecutivo, dejando atrás la modalidad de ventanilla, por lo que no habrá interés alguno más que la atención al ciudadano. Parte de esta política contempla también la instauración de asistentes virtuales las 24 horas.</w:t>
      </w:r>
    </w:p>
    <w:p w14:paraId="0DED0AD8" w14:textId="5C8A1292" w:rsidR="00116D3B" w:rsidRPr="00DB04A9" w:rsidRDefault="00500209" w:rsidP="00500209">
      <w:pPr>
        <w:pStyle w:val="Prrafodelista"/>
        <w:numPr>
          <w:ilvl w:val="0"/>
          <w:numId w:val="7"/>
        </w:numPr>
        <w:spacing w:before="240" w:beforeAutospacing="0" w:after="240" w:afterAutospacing="0"/>
        <w:ind w:left="714" w:hanging="357"/>
        <w:contextualSpacing w:val="0"/>
        <w:rPr>
          <w:rFonts w:ascii="Century Gothic" w:hAnsi="Century Gothic"/>
          <w:color w:val="000000" w:themeColor="text1"/>
        </w:rPr>
      </w:pPr>
      <w:r w:rsidRPr="00DB04A9">
        <w:rPr>
          <w:rFonts w:ascii="Century Gothic" w:hAnsi="Century Gothic"/>
          <w:color w:val="000000" w:themeColor="text1"/>
        </w:rPr>
        <w:t>E</w:t>
      </w:r>
      <w:r w:rsidR="00116D3B" w:rsidRPr="00DB04A9">
        <w:rPr>
          <w:rFonts w:ascii="Century Gothic" w:hAnsi="Century Gothic"/>
          <w:color w:val="000000" w:themeColor="text1"/>
        </w:rPr>
        <w:t xml:space="preserve">xpediente único, un archivo digital que se almacena en medios electrónicos. En él se </w:t>
      </w:r>
      <w:proofErr w:type="gramStart"/>
      <w:r w:rsidR="00116D3B" w:rsidRPr="00DB04A9">
        <w:rPr>
          <w:rFonts w:ascii="Century Gothic" w:hAnsi="Century Gothic"/>
          <w:color w:val="000000" w:themeColor="text1"/>
        </w:rPr>
        <w:t>conjuntan  datos</w:t>
      </w:r>
      <w:proofErr w:type="gramEnd"/>
      <w:r w:rsidR="00116D3B" w:rsidRPr="00DB04A9">
        <w:rPr>
          <w:rFonts w:ascii="Century Gothic" w:hAnsi="Century Gothic"/>
          <w:color w:val="000000" w:themeColor="text1"/>
        </w:rPr>
        <w:t>, documentos para la gestión de trámites sin tener que presentar nuevamente dichos documentos, y en caso de necesitar dos o más trámites gubernamentales, puedan desarrollarse a la par disminuyendo el tiempo de respuesta.</w:t>
      </w:r>
      <w:bookmarkEnd w:id="0"/>
      <w:bookmarkEnd w:id="1"/>
    </w:p>
    <w:sectPr w:rsidR="00116D3B" w:rsidRPr="00DB04A9" w:rsidSect="00155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41B"/>
    <w:multiLevelType w:val="hybridMultilevel"/>
    <w:tmpl w:val="B386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D6793"/>
    <w:multiLevelType w:val="hybridMultilevel"/>
    <w:tmpl w:val="878EE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A008EF"/>
    <w:multiLevelType w:val="hybridMultilevel"/>
    <w:tmpl w:val="457CFFD4"/>
    <w:lvl w:ilvl="0" w:tplc="F15AA8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F628A3"/>
    <w:multiLevelType w:val="hybridMultilevel"/>
    <w:tmpl w:val="49A243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1148C2"/>
    <w:multiLevelType w:val="hybridMultilevel"/>
    <w:tmpl w:val="84984158"/>
    <w:lvl w:ilvl="0" w:tplc="EE4C8096">
      <w:start w:val="1"/>
      <w:numFmt w:val="bullet"/>
      <w:lvlText w:val="-"/>
      <w:lvlJc w:val="left"/>
      <w:pPr>
        <w:ind w:left="3054"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78F6A89"/>
    <w:multiLevelType w:val="hybridMultilevel"/>
    <w:tmpl w:val="726AD9D2"/>
    <w:lvl w:ilvl="0" w:tplc="C294583C">
      <w:numFmt w:val="bullet"/>
      <w:lvlText w:val=""/>
      <w:lvlJc w:val="left"/>
      <w:pPr>
        <w:ind w:left="2061" w:hanging="360"/>
      </w:pPr>
      <w:rPr>
        <w:rFonts w:ascii="Symbol" w:eastAsiaTheme="minorHAnsi" w:hAnsi="Symbol" w:cs="Tahoma" w:hint="default"/>
        <w:color w:val="000000"/>
        <w:sz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DE5139"/>
    <w:multiLevelType w:val="hybridMultilevel"/>
    <w:tmpl w:val="649061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94"/>
    <w:rsid w:val="000063AB"/>
    <w:rsid w:val="0005507F"/>
    <w:rsid w:val="00116D3B"/>
    <w:rsid w:val="0025265A"/>
    <w:rsid w:val="00287862"/>
    <w:rsid w:val="004011B1"/>
    <w:rsid w:val="004953E6"/>
    <w:rsid w:val="00500209"/>
    <w:rsid w:val="00605CFB"/>
    <w:rsid w:val="0078443E"/>
    <w:rsid w:val="008303E4"/>
    <w:rsid w:val="009C7394"/>
    <w:rsid w:val="00CA13E6"/>
    <w:rsid w:val="00DB0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588BF2D"/>
  <w15:chartTrackingRefBased/>
  <w15:docId w15:val="{A2374A9D-02A7-4241-B8AF-8C4D82B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94"/>
    <w:pPr>
      <w:spacing w:before="100" w:beforeAutospacing="1" w:after="100" w:afterAutospacing="1"/>
      <w:jc w:val="both"/>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394"/>
    <w:pPr>
      <w:ind w:left="720"/>
      <w:contextualSpacing/>
    </w:pPr>
  </w:style>
  <w:style w:type="character" w:styleId="Hipervnculo">
    <w:name w:val="Hyperlink"/>
    <w:basedOn w:val="Fuentedeprrafopredeter"/>
    <w:uiPriority w:val="99"/>
    <w:unhideWhenUsed/>
    <w:rsid w:val="0078443E"/>
    <w:rPr>
      <w:color w:val="0563C1" w:themeColor="hyperlink"/>
      <w:u w:val="single"/>
    </w:rPr>
  </w:style>
  <w:style w:type="character" w:styleId="Textoennegrita">
    <w:name w:val="Strong"/>
    <w:basedOn w:val="Fuentedeprrafopredeter"/>
    <w:uiPriority w:val="22"/>
    <w:qFormat/>
    <w:rsid w:val="0078443E"/>
    <w:rPr>
      <w:b/>
      <w:bCs/>
    </w:rPr>
  </w:style>
  <w:style w:type="paragraph" w:customStyle="1" w:styleId="Default">
    <w:name w:val="Default"/>
    <w:basedOn w:val="Normal"/>
    <w:rsid w:val="0078443E"/>
    <w:pPr>
      <w:autoSpaceDE w:val="0"/>
      <w:autoSpaceDN w:val="0"/>
      <w:spacing w:before="0" w:beforeAutospacing="0" w:after="0" w:afterAutospacing="0"/>
      <w:jc w:val="left"/>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Jocabed Martínez Páez</dc:creator>
  <cp:keywords/>
  <dc:description/>
  <cp:lastModifiedBy>Mónica Jocabed Martínez Páez</cp:lastModifiedBy>
  <cp:revision>4</cp:revision>
  <dcterms:created xsi:type="dcterms:W3CDTF">2021-08-12T16:25:00Z</dcterms:created>
  <dcterms:modified xsi:type="dcterms:W3CDTF">2021-08-12T18:13:00Z</dcterms:modified>
</cp:coreProperties>
</file>